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97" w:rsidRPr="008F0F6B" w:rsidRDefault="008910CA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РЕГУЛЯТОРНОГО ВПЛИВУ </w:t>
      </w:r>
    </w:p>
    <w:p w:rsidR="00B40242" w:rsidRDefault="008910CA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акта «Про затвердження норм надання послуг </w:t>
      </w:r>
    </w:p>
    <w:p w:rsidR="00B40242" w:rsidRDefault="008910CA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вивезення твердих побутових відходів </w:t>
      </w:r>
      <w:r w:rsidR="00EC7354" w:rsidRPr="008F0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</w:p>
    <w:p w:rsidR="008910CA" w:rsidRPr="008F0F6B" w:rsidRDefault="00841A2D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Середнянсько</w:t>
      </w:r>
      <w:r w:rsidR="00EC7354" w:rsidRPr="008F0F6B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proofErr w:type="spellEnd"/>
      <w:r w:rsidR="00EC7354" w:rsidRPr="008F0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7F97" w:rsidRPr="008F0F6B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="008910CA" w:rsidRPr="008F0F6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B7F97" w:rsidRPr="008F0F6B" w:rsidRDefault="001B7F9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54" w:rsidRPr="008F0F6B" w:rsidRDefault="008910CA" w:rsidP="001B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Назва регуляторного акт</w:t>
      </w:r>
      <w:r w:rsidR="001B7F97" w:rsidRPr="008F0F6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C7354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норм надання послуг з вивезення твердих побутових відходів </w:t>
      </w:r>
      <w:r w:rsidR="00EC7354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 w:rsidR="00EC7354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8910CA" w:rsidRPr="008F0F6B" w:rsidRDefault="008910CA" w:rsidP="001B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Регуляторний орган: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Середнянська</w:t>
      </w:r>
      <w:proofErr w:type="spellEnd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селищна 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рада </w:t>
      </w:r>
    </w:p>
    <w:p w:rsidR="00841A2D" w:rsidRPr="008F0F6B" w:rsidRDefault="008910CA" w:rsidP="001B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Розробник документа: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Середнянська</w:t>
      </w:r>
      <w:proofErr w:type="spellEnd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</w:p>
    <w:p w:rsidR="00E2133A" w:rsidRPr="002D12AB" w:rsidRDefault="008910CA" w:rsidP="001B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2AB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 особи:</w:t>
      </w:r>
      <w:r w:rsidRPr="002D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A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селищного голови </w:t>
      </w:r>
      <w:proofErr w:type="spellStart"/>
      <w:r w:rsidR="002D12AB">
        <w:rPr>
          <w:rFonts w:ascii="Times New Roman" w:hAnsi="Times New Roman" w:cs="Times New Roman"/>
          <w:sz w:val="28"/>
          <w:szCs w:val="28"/>
          <w:lang w:val="uk-UA"/>
        </w:rPr>
        <w:t>Василиндра</w:t>
      </w:r>
      <w:proofErr w:type="spellEnd"/>
      <w:r w:rsidR="002D12AB">
        <w:rPr>
          <w:rFonts w:ascii="Times New Roman" w:hAnsi="Times New Roman" w:cs="Times New Roman"/>
          <w:sz w:val="28"/>
          <w:szCs w:val="28"/>
          <w:lang w:val="uk-UA"/>
        </w:rPr>
        <w:t xml:space="preserve"> Р.Ю.</w:t>
      </w:r>
    </w:p>
    <w:p w:rsidR="007D7B99" w:rsidRPr="008F0F6B" w:rsidRDefault="008910CA" w:rsidP="001B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телефон: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33A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721-346</w:t>
      </w:r>
      <w:r w:rsidR="003768B1" w:rsidRPr="008F0F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0CA" w:rsidRPr="007E57E2" w:rsidRDefault="008910CA" w:rsidP="001B7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910CA" w:rsidRPr="008F0F6B" w:rsidRDefault="008910CA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І. Визначення проблеми</w:t>
      </w:r>
    </w:p>
    <w:p w:rsidR="004F2454" w:rsidRPr="007E57E2" w:rsidRDefault="004F2454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Цей аналіз регуляторного впливу (далі - Аналіз) розроблений на виконання вимог Закону України "Про засади державної регуляторної політики у сфері господарської діяльності" від 11 вересня 2003 року № 1160-IV та постанови Кабінету Міністрів України від 16.12.2015 р. №1151 «Про внесення змін до постанови Кабінету Міністрів України від 11.03.2004 №308 «Про затвердження </w:t>
      </w:r>
      <w:proofErr w:type="spellStart"/>
      <w:r w:rsidRPr="008F0F6B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F635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аналізу впливу та відстеження результативності регуляторного акта» і визначає правові та орга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нізаційні засади реалізації прое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виконавчого комітету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</w:t>
      </w:r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елищно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>ї ради «Про затвердження норм надання послуг з вивезення твердих побутових відході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Середнянсько</w:t>
      </w:r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», як регуляторного акту. </w:t>
      </w: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>Крім того, Аналіз розроблено з метою реалізації державної політики в сфері поводження з відходами, створення належних правових підстав та умов для затвердження норм надання послуг з вивезення твердих побутових відходів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роботи виконавців таких послуг у сфері поводження з відходами та створення відповідних умов для забезпечення споживачів якісними послугами з організації збирання та вивезення твердих побутових відходів, що утворюються на території </w:t>
      </w:r>
      <w:proofErr w:type="spellStart"/>
      <w:r w:rsidR="00841A2D" w:rsidRPr="008F0F6B"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Основною проблемою є те, що існуючі норми надання послуг з вивезення побутових відходів не відображають фактичне накопичення твердих побутових відходів </w:t>
      </w:r>
      <w:r w:rsidR="001B7F97" w:rsidRPr="008F0F6B">
        <w:rPr>
          <w:rFonts w:ascii="Times New Roman" w:hAnsi="Times New Roman" w:cs="Times New Roman"/>
          <w:sz w:val="28"/>
          <w:szCs w:val="28"/>
          <w:lang w:val="uk-UA"/>
        </w:rPr>
        <w:t>на території громади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54E5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внесення змін до деяких законодавчих актів України у сфері поводження з відходами», органи місцевого самоврядування затверджують норми надання послуг із вивезення побутових відходів. Так, відповідно до підпункту 16 пункту «а» статті 30 Закону України «Про місцеве самоврядування в Україні» затвердження норм надання послуг з вивезення побутових відходів відноситься до повноважень виконавчих органів відповідних рад. Відповідно до </w:t>
      </w:r>
      <w:r w:rsidR="004B2B1F" w:rsidRPr="008F0F6B">
        <w:rPr>
          <w:rFonts w:ascii="Times New Roman" w:hAnsi="Times New Roman" w:cs="Times New Roman"/>
          <w:sz w:val="28"/>
          <w:szCs w:val="28"/>
          <w:lang w:val="uk-UA"/>
        </w:rPr>
        <w:t>наказу Міністерства з питань житлово-комунального господарства України від 30.07.2010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B2B1F" w:rsidRPr="008F0F6B">
        <w:rPr>
          <w:rFonts w:ascii="Times New Roman" w:hAnsi="Times New Roman" w:cs="Times New Roman"/>
          <w:sz w:val="28"/>
          <w:szCs w:val="28"/>
          <w:lang w:val="uk-UA"/>
        </w:rPr>
        <w:t>259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B2B1F" w:rsidRPr="008F0F6B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визначення норм надання послуг з вивезення побутових відходів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B2B1F" w:rsidRPr="008F0F6B">
        <w:rPr>
          <w:rFonts w:ascii="Times New Roman" w:hAnsi="Times New Roman" w:cs="Times New Roman"/>
          <w:sz w:val="28"/>
          <w:szCs w:val="28"/>
          <w:lang w:val="uk-UA"/>
        </w:rPr>
        <w:t>- розроблення та затвердження норм здійснюється один раз на п’ять років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0F6B" w:rsidRDefault="002554E5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>Необхідність вимірювання норми накопичення твердих побутових відходів, викликана через об</w:t>
      </w:r>
      <w:r w:rsidR="00AA2F4D" w:rsidRPr="008F0F6B">
        <w:rPr>
          <w:rFonts w:ascii="Times New Roman" w:hAnsi="Times New Roman" w:cs="Times New Roman"/>
          <w:sz w:val="28"/>
          <w:szCs w:val="28"/>
          <w:lang w:val="uk-UA"/>
        </w:rPr>
        <w:t>‘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>єднанн</w:t>
      </w:r>
      <w:r w:rsidR="004F2454" w:rsidRPr="008F0F6B">
        <w:rPr>
          <w:rFonts w:ascii="Times New Roman" w:hAnsi="Times New Roman" w:cs="Times New Roman"/>
          <w:sz w:val="28"/>
          <w:szCs w:val="28"/>
          <w:lang w:val="uk-UA"/>
        </w:rPr>
        <w:t>я територіальних громад та у зв’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>язку з</w:t>
      </w:r>
      <w:r w:rsidR="004F2454" w:rsidRPr="008F0F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скасуванням 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мінімальних норм утворення ТПВ, затверджених Постановою КМУ від 10.12.2008р. № 1070.</w:t>
      </w:r>
    </w:p>
    <w:p w:rsidR="008910CA" w:rsidRPr="007E57E2" w:rsidRDefault="00AA2F4D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jc w:val="center"/>
        <w:tblInd w:w="-674" w:type="dxa"/>
        <w:tblLook w:val="04A0" w:firstRow="1" w:lastRow="0" w:firstColumn="1" w:lastColumn="0" w:noHBand="0" w:noVBand="1"/>
      </w:tblPr>
      <w:tblGrid>
        <w:gridCol w:w="4184"/>
        <w:gridCol w:w="2463"/>
        <w:gridCol w:w="2917"/>
      </w:tblGrid>
      <w:tr w:rsidR="008910CA" w:rsidRPr="008F0F6B" w:rsidTr="004F2454">
        <w:trPr>
          <w:jc w:val="center"/>
        </w:trPr>
        <w:tc>
          <w:tcPr>
            <w:tcW w:w="4184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2463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917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</w:tr>
      <w:tr w:rsidR="008910CA" w:rsidRPr="008F0F6B" w:rsidTr="004F2454">
        <w:trPr>
          <w:jc w:val="center"/>
        </w:trPr>
        <w:tc>
          <w:tcPr>
            <w:tcW w:w="4184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2463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917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910CA" w:rsidRPr="008F0F6B" w:rsidTr="004F2454">
        <w:trPr>
          <w:jc w:val="center"/>
        </w:trPr>
        <w:tc>
          <w:tcPr>
            <w:tcW w:w="4184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місцевого самоврядування</w:t>
            </w:r>
          </w:p>
        </w:tc>
        <w:tc>
          <w:tcPr>
            <w:tcW w:w="2463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917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910CA" w:rsidRPr="008F0F6B" w:rsidTr="004F2454">
        <w:trPr>
          <w:jc w:val="center"/>
        </w:trPr>
        <w:tc>
          <w:tcPr>
            <w:tcW w:w="4184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господарювання</w:t>
            </w:r>
          </w:p>
        </w:tc>
        <w:tc>
          <w:tcPr>
            <w:tcW w:w="2463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917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910CA" w:rsidRPr="008F0F6B" w:rsidTr="004F2454">
        <w:trPr>
          <w:jc w:val="center"/>
        </w:trPr>
        <w:tc>
          <w:tcPr>
            <w:tcW w:w="4184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суб’єкти підприємництва</w:t>
            </w:r>
          </w:p>
        </w:tc>
        <w:tc>
          <w:tcPr>
            <w:tcW w:w="2463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917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910CA" w:rsidRPr="007E57E2" w:rsidRDefault="008910CA" w:rsidP="001B7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910CA" w:rsidRPr="008F0F6B" w:rsidRDefault="008910CA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ІІ. Цілі державного регулювання</w:t>
      </w:r>
    </w:p>
    <w:p w:rsidR="004F2454" w:rsidRPr="007E57E2" w:rsidRDefault="004F2454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цілями даного регулювання є реалізація державної політики в сфері поводження з відходами, встановлення економічно обґрунтованих норм надання послуг з вивезення побутових відходів, що застосовуються у практичній діяльності органів місцевого самоврядування, виконавців таких послуг у сфері поводження з відходами, споживачів відповідних послуг. </w:t>
      </w: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економічно обґрунтованих норм надання послуг з вивезення побутових відходів допоможе також опосередковано досягти наступних цілей: </w:t>
      </w: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- приведення у відповідність та затвердження норм надання послуг з вивезення твердих побутових відходів; </w:t>
      </w: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>- підвищити якість організації діяльності щодо поводження з ТПВ та, як наслідок, покращити санітарно-епідеміологічну ситуацію</w:t>
      </w:r>
      <w:r w:rsidR="00A012D7"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454" w:rsidRPr="008F0F6B">
        <w:rPr>
          <w:rFonts w:ascii="Times New Roman" w:hAnsi="Times New Roman" w:cs="Times New Roman"/>
          <w:sz w:val="28"/>
          <w:szCs w:val="28"/>
          <w:lang w:val="uk-UA"/>
        </w:rPr>
        <w:t>на території громади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910CA" w:rsidRPr="008F0F6B" w:rsidRDefault="008910CA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- досягти балансу між коштами, що виділяються з бюджету різних рівнів на санітарну очистку </w:t>
      </w:r>
      <w:r w:rsidR="004F2454" w:rsidRPr="008F0F6B">
        <w:rPr>
          <w:rFonts w:ascii="Times New Roman" w:hAnsi="Times New Roman" w:cs="Times New Roman"/>
          <w:sz w:val="28"/>
          <w:szCs w:val="28"/>
          <w:lang w:val="uk-UA"/>
        </w:rPr>
        <w:t>території громади</w:t>
      </w:r>
      <w:r w:rsidRPr="008F0F6B">
        <w:rPr>
          <w:rFonts w:ascii="Times New Roman" w:hAnsi="Times New Roman" w:cs="Times New Roman"/>
          <w:sz w:val="28"/>
          <w:szCs w:val="28"/>
          <w:lang w:val="uk-UA"/>
        </w:rPr>
        <w:t xml:space="preserve"> та реальними потребами галузі.</w:t>
      </w:r>
    </w:p>
    <w:p w:rsidR="008910CA" w:rsidRPr="007E57E2" w:rsidRDefault="008910CA" w:rsidP="001B7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910CA" w:rsidRPr="008F0F6B" w:rsidRDefault="008910CA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b/>
          <w:sz w:val="28"/>
          <w:szCs w:val="28"/>
          <w:lang w:val="uk-UA"/>
        </w:rPr>
        <w:t>ІІІ. Визначення альтернативних способів досягнення цілей</w:t>
      </w:r>
    </w:p>
    <w:p w:rsidR="004F2454" w:rsidRPr="007E57E2" w:rsidRDefault="004F2454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910CA" w:rsidRDefault="008910CA" w:rsidP="005B0EC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>В якості альтернативних способів для досягнення цілей пропонується три способи:</w:t>
      </w:r>
    </w:p>
    <w:tbl>
      <w:tblPr>
        <w:tblStyle w:val="a3"/>
        <w:tblW w:w="9797" w:type="dxa"/>
        <w:jc w:val="center"/>
        <w:tblInd w:w="468" w:type="dxa"/>
        <w:tblLook w:val="04A0" w:firstRow="1" w:lastRow="0" w:firstColumn="1" w:lastColumn="0" w:noHBand="0" w:noVBand="1"/>
      </w:tblPr>
      <w:tblGrid>
        <w:gridCol w:w="3766"/>
        <w:gridCol w:w="6031"/>
      </w:tblGrid>
      <w:tr w:rsidR="008910CA" w:rsidRPr="008F0F6B" w:rsidTr="00B75CF8">
        <w:trPr>
          <w:jc w:val="center"/>
        </w:trPr>
        <w:tc>
          <w:tcPr>
            <w:tcW w:w="3766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6031" w:type="dxa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8910CA" w:rsidRPr="00C15260" w:rsidTr="00B75CF8">
        <w:trPr>
          <w:jc w:val="center"/>
        </w:trPr>
        <w:tc>
          <w:tcPr>
            <w:tcW w:w="3766" w:type="dxa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6031" w:type="dxa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чинного законодавства - альтернативу </w:t>
            </w:r>
            <w:proofErr w:type="spellStart"/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відхилено</w:t>
            </w:r>
            <w:proofErr w:type="spellEnd"/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з тим, що в результаті перегляду в діючому рішенні виявлені норми, які не узгоджені з нормами актів вищої юридичної сили, які є чинними на сьогоднішній день.</w:t>
            </w:r>
          </w:p>
        </w:tc>
      </w:tr>
      <w:tr w:rsidR="008910CA" w:rsidRPr="00C15260" w:rsidTr="00B75CF8">
        <w:trPr>
          <w:jc w:val="center"/>
        </w:trPr>
        <w:tc>
          <w:tcPr>
            <w:tcW w:w="3766" w:type="dxa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6031" w:type="dxa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нерегуляторних механізмів (ринкові механізми) – альтернативу </w:t>
            </w:r>
            <w:proofErr w:type="spellStart"/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відхилено</w:t>
            </w:r>
            <w:proofErr w:type="spellEnd"/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з тим, що ринковий механізм не визначає середньорічну норму надання послуг із вивезення побутових відходів</w:t>
            </w:r>
          </w:p>
        </w:tc>
      </w:tr>
      <w:tr w:rsidR="008910CA" w:rsidRPr="00C15260" w:rsidTr="00B75CF8">
        <w:trPr>
          <w:jc w:val="center"/>
        </w:trPr>
        <w:tc>
          <w:tcPr>
            <w:tcW w:w="3766" w:type="dxa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3</w:t>
            </w:r>
          </w:p>
        </w:tc>
        <w:tc>
          <w:tcPr>
            <w:tcW w:w="6031" w:type="dxa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даного регуляторного акта –альтернатива є прийнятною, так як досягає мети регулювання та відповідає нормам діючого законодавства</w:t>
            </w:r>
          </w:p>
        </w:tc>
      </w:tr>
    </w:tbl>
    <w:p w:rsidR="008910CA" w:rsidRPr="007E57E2" w:rsidRDefault="008910CA" w:rsidP="001B7F9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910CA" w:rsidRDefault="008910CA" w:rsidP="008F0F6B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6B">
        <w:rPr>
          <w:rFonts w:ascii="Times New Roman" w:hAnsi="Times New Roman" w:cs="Times New Roman"/>
          <w:sz w:val="28"/>
          <w:szCs w:val="28"/>
          <w:lang w:val="uk-UA"/>
        </w:rPr>
        <w:t>Оцінка вибраних альтернативних способів досягнення цілей Оцінка впливу на сферу інтересів органу місцевого самоврядування</w:t>
      </w:r>
    </w:p>
    <w:p w:rsidR="005B0ECD" w:rsidRPr="007E57E2" w:rsidRDefault="005B0ECD" w:rsidP="005B0EC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0140" w:type="dxa"/>
        <w:jc w:val="center"/>
        <w:tblInd w:w="-34" w:type="dxa"/>
        <w:tblLook w:val="04A0" w:firstRow="1" w:lastRow="0" w:firstColumn="1" w:lastColumn="0" w:noHBand="0" w:noVBand="1"/>
      </w:tblPr>
      <w:tblGrid>
        <w:gridCol w:w="379"/>
        <w:gridCol w:w="189"/>
        <w:gridCol w:w="1984"/>
        <w:gridCol w:w="1486"/>
        <w:gridCol w:w="357"/>
        <w:gridCol w:w="1134"/>
        <w:gridCol w:w="1134"/>
        <w:gridCol w:w="299"/>
        <w:gridCol w:w="693"/>
        <w:gridCol w:w="851"/>
        <w:gridCol w:w="1417"/>
        <w:gridCol w:w="217"/>
      </w:tblGrid>
      <w:tr w:rsidR="008910CA" w:rsidRPr="00B75CF8" w:rsidTr="007E57E2">
        <w:trPr>
          <w:gridBefore w:val="1"/>
          <w:wBefore w:w="379" w:type="dxa"/>
          <w:jc w:val="center"/>
        </w:trPr>
        <w:tc>
          <w:tcPr>
            <w:tcW w:w="3659" w:type="dxa"/>
            <w:gridSpan w:val="3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2924" w:type="dxa"/>
            <w:gridSpan w:val="4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178" w:type="dxa"/>
            <w:gridSpan w:val="4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Втрати</w:t>
            </w:r>
          </w:p>
        </w:tc>
      </w:tr>
      <w:tr w:rsidR="008910CA" w:rsidRPr="00B75CF8" w:rsidTr="007E57E2">
        <w:trPr>
          <w:gridBefore w:val="1"/>
          <w:wBefore w:w="379" w:type="dxa"/>
          <w:jc w:val="center"/>
        </w:trPr>
        <w:tc>
          <w:tcPr>
            <w:tcW w:w="3659" w:type="dxa"/>
            <w:gridSpan w:val="3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924" w:type="dxa"/>
            <w:gridSpan w:val="4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вимоги</w:t>
            </w:r>
          </w:p>
        </w:tc>
        <w:tc>
          <w:tcPr>
            <w:tcW w:w="3178" w:type="dxa"/>
            <w:gridSpan w:val="4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Втрат немає</w:t>
            </w:r>
          </w:p>
        </w:tc>
      </w:tr>
      <w:tr w:rsidR="008910CA" w:rsidRPr="00B75CF8" w:rsidTr="007E57E2">
        <w:trPr>
          <w:gridBefore w:val="1"/>
          <w:wBefore w:w="379" w:type="dxa"/>
          <w:jc w:val="center"/>
        </w:trPr>
        <w:tc>
          <w:tcPr>
            <w:tcW w:w="3659" w:type="dxa"/>
            <w:gridSpan w:val="3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924" w:type="dxa"/>
            <w:gridSpan w:val="4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вимоги</w:t>
            </w:r>
          </w:p>
        </w:tc>
        <w:tc>
          <w:tcPr>
            <w:tcW w:w="3178" w:type="dxa"/>
            <w:gridSpan w:val="4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Втрат немає</w:t>
            </w:r>
          </w:p>
        </w:tc>
      </w:tr>
      <w:tr w:rsidR="008910CA" w:rsidRPr="00B75CF8" w:rsidTr="007E57E2">
        <w:trPr>
          <w:gridBefore w:val="1"/>
          <w:wBefore w:w="379" w:type="dxa"/>
          <w:jc w:val="center"/>
        </w:trPr>
        <w:tc>
          <w:tcPr>
            <w:tcW w:w="3659" w:type="dxa"/>
            <w:gridSpan w:val="3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3</w:t>
            </w:r>
          </w:p>
        </w:tc>
        <w:tc>
          <w:tcPr>
            <w:tcW w:w="2924" w:type="dxa"/>
            <w:gridSpan w:val="4"/>
          </w:tcPr>
          <w:p w:rsidR="008910CA" w:rsidRPr="00B75CF8" w:rsidRDefault="008910CA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вимогам чинного законодавства</w:t>
            </w:r>
          </w:p>
        </w:tc>
        <w:tc>
          <w:tcPr>
            <w:tcW w:w="3178" w:type="dxa"/>
            <w:gridSpan w:val="4"/>
          </w:tcPr>
          <w:p w:rsidR="008910CA" w:rsidRPr="00B75CF8" w:rsidRDefault="008910CA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Втрат немає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  <w:trHeight w:val="1704"/>
        </w:trPr>
        <w:tc>
          <w:tcPr>
            <w:tcW w:w="568" w:type="dxa"/>
            <w:gridSpan w:val="2"/>
            <w:vMerge w:val="restart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об'єкта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75DF5" w:rsidRPr="00B75CF8" w:rsidRDefault="00475DF5" w:rsidP="001B7F9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Розрахункова одиниця</w:t>
            </w:r>
          </w:p>
        </w:tc>
        <w:tc>
          <w:tcPr>
            <w:tcW w:w="5528" w:type="dxa"/>
            <w:gridSpan w:val="6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Пропоновані показники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  <w:trHeight w:val="1704"/>
        </w:trPr>
        <w:tc>
          <w:tcPr>
            <w:tcW w:w="568" w:type="dxa"/>
            <w:gridSpan w:val="2"/>
            <w:vMerge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75DF5" w:rsidRPr="00B75CF8" w:rsidRDefault="00475DF5" w:rsidP="001B7F9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5DF5" w:rsidRPr="00B75CF8" w:rsidRDefault="00475DF5" w:rsidP="001B7F9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Добовий  об'єм  утворення  твердих  побутових </w:t>
            </w:r>
            <w:bookmarkStart w:id="0" w:name="o152"/>
            <w:bookmarkEnd w:id="0"/>
            <w:r w:rsidRPr="00B75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відходів у середньому за рік</w:t>
            </w:r>
          </w:p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5DF5" w:rsidRPr="00B75CF8" w:rsidRDefault="00475DF5" w:rsidP="001B7F9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Об'єм  утворення  твердих побутових  відходів  у </w:t>
            </w:r>
            <w:r w:rsidRPr="00B75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bookmarkStart w:id="1" w:name="o139"/>
            <w:bookmarkEnd w:id="1"/>
            <w:r w:rsidRPr="00B75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середньому за рік</w:t>
            </w:r>
          </w:p>
        </w:tc>
        <w:tc>
          <w:tcPr>
            <w:tcW w:w="1417" w:type="dxa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Щільність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Merge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кг.</w:t>
            </w:r>
          </w:p>
        </w:tc>
        <w:tc>
          <w:tcPr>
            <w:tcW w:w="1134" w:type="dxa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</w:t>
            </w:r>
          </w:p>
        </w:tc>
        <w:tc>
          <w:tcPr>
            <w:tcW w:w="992" w:type="dxa"/>
            <w:gridSpan w:val="2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кг.</w:t>
            </w:r>
          </w:p>
        </w:tc>
        <w:tc>
          <w:tcPr>
            <w:tcW w:w="851" w:type="dxa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м³</w:t>
            </w:r>
          </w:p>
        </w:tc>
        <w:tc>
          <w:tcPr>
            <w:tcW w:w="1417" w:type="dxa"/>
            <w:vAlign w:val="center"/>
          </w:tcPr>
          <w:p w:rsidR="00475DF5" w:rsidRPr="00B75CF8" w:rsidRDefault="00475DF5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кг/м³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Одноквартирні будинки з присадибною ділянкою за відсутності одного з видів благоустрою -  центрального опалення 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мешканець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0,006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419,75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2,19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191,67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установи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робоче місце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0,137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0,0011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34,39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124,55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Поліклініки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відвідування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0,628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0,0062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157,63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1,56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101,29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загальної середньої, професійної (професійно-технічної), позашкільної освіти  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учень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0,147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0,001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36,9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0,00049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18,07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146,94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Продовольчі магазини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м² торгівельної площі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0,132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0,00126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48,18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104,76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Промтоварні магазини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м² торгівельної площі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0,0006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26,28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Кемпінг, автостоянка, АЗС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м²   площі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0,0068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0,0001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2,48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0,037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68,00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Кафе, їдальня 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0,348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0,00254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127,02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</w:tr>
      <w:tr w:rsidR="00B75CF8" w:rsidRPr="00B75CF8" w:rsidTr="007E57E2">
        <w:tblPrEx>
          <w:jc w:val="left"/>
        </w:tblPrEx>
        <w:trPr>
          <w:gridAfter w:val="1"/>
          <w:wAfter w:w="217" w:type="dxa"/>
        </w:trPr>
        <w:tc>
          <w:tcPr>
            <w:tcW w:w="568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Кладовище</w:t>
            </w:r>
          </w:p>
        </w:tc>
        <w:tc>
          <w:tcPr>
            <w:tcW w:w="1843" w:type="dxa"/>
            <w:gridSpan w:val="2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м² площі території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0,00095</w:t>
            </w:r>
          </w:p>
        </w:tc>
        <w:tc>
          <w:tcPr>
            <w:tcW w:w="1134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0,000009</w:t>
            </w:r>
          </w:p>
        </w:tc>
        <w:tc>
          <w:tcPr>
            <w:tcW w:w="992" w:type="dxa"/>
            <w:gridSpan w:val="2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851" w:type="dxa"/>
            <w:vAlign w:val="center"/>
          </w:tcPr>
          <w:p w:rsidR="00841A2D" w:rsidRPr="00B75CF8" w:rsidRDefault="00841A2D" w:rsidP="001B7F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0,003</w:t>
            </w:r>
          </w:p>
        </w:tc>
        <w:tc>
          <w:tcPr>
            <w:tcW w:w="1417" w:type="dxa"/>
            <w:vAlign w:val="center"/>
          </w:tcPr>
          <w:p w:rsidR="00841A2D" w:rsidRPr="00B75CF8" w:rsidRDefault="00841A2D" w:rsidP="001B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105,55</w:t>
            </w:r>
          </w:p>
        </w:tc>
      </w:tr>
    </w:tbl>
    <w:p w:rsidR="008910CA" w:rsidRPr="00C15260" w:rsidRDefault="008910CA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</w:p>
    <w:p w:rsidR="007E57E2" w:rsidRDefault="007E57E2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7E2" w:rsidRDefault="007E57E2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7E2" w:rsidRDefault="007E57E2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848" w:rsidRDefault="00EB7848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IV. Вибір найбільш оптимального альтернативного способу досягнення цілей</w:t>
      </w:r>
    </w:p>
    <w:p w:rsidR="00B75CF8" w:rsidRPr="007E57E2" w:rsidRDefault="00B75CF8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43"/>
        <w:gridCol w:w="2925"/>
        <w:gridCol w:w="3213"/>
      </w:tblGrid>
      <w:tr w:rsidR="00EB7848" w:rsidRPr="00B75CF8" w:rsidTr="00C15260">
        <w:tc>
          <w:tcPr>
            <w:tcW w:w="3643" w:type="dxa"/>
          </w:tcPr>
          <w:p w:rsidR="00EB7848" w:rsidRPr="00B75CF8" w:rsidRDefault="00EB7848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925" w:type="dxa"/>
          </w:tcPr>
          <w:p w:rsidR="00EB7848" w:rsidRPr="00B75CF8" w:rsidRDefault="00EB7848" w:rsidP="001B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213" w:type="dxa"/>
          </w:tcPr>
          <w:p w:rsidR="00EB7848" w:rsidRPr="00B75CF8" w:rsidRDefault="00EB7848" w:rsidP="00C15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 щодо присвоєння відповідного бал</w:t>
            </w:r>
            <w:r w:rsidR="00C15260"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</w:tr>
      <w:tr w:rsidR="00EB7848" w:rsidRPr="00C15260" w:rsidTr="00C15260">
        <w:tc>
          <w:tcPr>
            <w:tcW w:w="3643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чинного законодавства</w:t>
            </w:r>
          </w:p>
        </w:tc>
        <w:tc>
          <w:tcPr>
            <w:tcW w:w="2925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3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чинним нормативами вирішити вказану проблему не вбачається за можливе</w:t>
            </w:r>
          </w:p>
        </w:tc>
      </w:tr>
      <w:tr w:rsidR="00EB7848" w:rsidRPr="00C15260" w:rsidTr="00C15260">
        <w:tc>
          <w:tcPr>
            <w:tcW w:w="3643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 застосування нерегуляторних механізмів (ринкові механізми)</w:t>
            </w:r>
          </w:p>
        </w:tc>
        <w:tc>
          <w:tcPr>
            <w:tcW w:w="2925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3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механізми не визначають середньорічну норму надання послуг із вивезення побутових відходів</w:t>
            </w:r>
          </w:p>
        </w:tc>
      </w:tr>
      <w:tr w:rsidR="00EB7848" w:rsidRPr="00C15260" w:rsidTr="00C15260">
        <w:tc>
          <w:tcPr>
            <w:tcW w:w="3643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3</w:t>
            </w:r>
          </w:p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даного регуляторного акта</w:t>
            </w:r>
          </w:p>
        </w:tc>
        <w:tc>
          <w:tcPr>
            <w:tcW w:w="2925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3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важливі аспекти існувати не будуть, оскільки відповідають нормам діючого законодавства</w:t>
            </w:r>
          </w:p>
        </w:tc>
      </w:tr>
    </w:tbl>
    <w:p w:rsidR="00EB7848" w:rsidRPr="00C15260" w:rsidRDefault="00EB7848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68"/>
        <w:gridCol w:w="2090"/>
        <w:gridCol w:w="2109"/>
        <w:gridCol w:w="2914"/>
      </w:tblGrid>
      <w:tr w:rsidR="00EB7848" w:rsidRPr="00C15260" w:rsidTr="00B75CF8">
        <w:tc>
          <w:tcPr>
            <w:tcW w:w="2668" w:type="dxa"/>
          </w:tcPr>
          <w:p w:rsidR="00EB7848" w:rsidRPr="00B75CF8" w:rsidRDefault="00EB7848" w:rsidP="00B75C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090" w:type="dxa"/>
          </w:tcPr>
          <w:p w:rsidR="00EB7848" w:rsidRPr="00B75CF8" w:rsidRDefault="00EB7848" w:rsidP="00B75C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109" w:type="dxa"/>
          </w:tcPr>
          <w:p w:rsidR="00EB7848" w:rsidRPr="00B75CF8" w:rsidRDefault="00EB7848" w:rsidP="00B75C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914" w:type="dxa"/>
          </w:tcPr>
          <w:p w:rsidR="00EB7848" w:rsidRPr="00B75CF8" w:rsidRDefault="00EB7848" w:rsidP="00B75C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EB7848" w:rsidRPr="00C15260" w:rsidTr="00B75CF8">
        <w:tc>
          <w:tcPr>
            <w:tcW w:w="2668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Альтернатива 1 </w:t>
            </w:r>
          </w:p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чинного законодавства</w:t>
            </w:r>
          </w:p>
        </w:tc>
        <w:tc>
          <w:tcPr>
            <w:tcW w:w="2090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відсутні, оскільки необхідно привести у відповідність до чинного законодавства</w:t>
            </w:r>
          </w:p>
        </w:tc>
        <w:tc>
          <w:tcPr>
            <w:tcW w:w="2109" w:type="dxa"/>
          </w:tcPr>
          <w:p w:rsidR="00EB7848" w:rsidRPr="00B75CF8" w:rsidRDefault="00EB7848" w:rsidP="001B7F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914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чинним нормативами вирішити вказану проблему не вбачається за можливе</w:t>
            </w:r>
          </w:p>
        </w:tc>
      </w:tr>
      <w:tr w:rsidR="00EB7848" w:rsidRPr="00C15260" w:rsidTr="00B75CF8">
        <w:tc>
          <w:tcPr>
            <w:tcW w:w="2668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 застосування нерегуляторних механізмів (ринкові механізми)</w:t>
            </w:r>
          </w:p>
        </w:tc>
        <w:tc>
          <w:tcPr>
            <w:tcW w:w="2090" w:type="dxa"/>
          </w:tcPr>
          <w:p w:rsidR="00EB7848" w:rsidRPr="00B75CF8" w:rsidRDefault="00EB7848" w:rsidP="001B7F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109" w:type="dxa"/>
          </w:tcPr>
          <w:p w:rsidR="00EB7848" w:rsidRPr="00B75CF8" w:rsidRDefault="00EB7848" w:rsidP="001B7F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914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механізми не визначають середньорічну норму надання послуг із вивезення побутових відходів</w:t>
            </w:r>
          </w:p>
          <w:p w:rsidR="00C15260" w:rsidRPr="00B75CF8" w:rsidRDefault="00C15260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848" w:rsidRPr="00C15260" w:rsidTr="00B75CF8">
        <w:tc>
          <w:tcPr>
            <w:tcW w:w="2668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3</w:t>
            </w:r>
          </w:p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прийняття даного регуляторного акта</w:t>
            </w:r>
          </w:p>
        </w:tc>
        <w:tc>
          <w:tcPr>
            <w:tcW w:w="2090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присутні, оскільки відповідає вимогам чинного законодавства</w:t>
            </w:r>
          </w:p>
        </w:tc>
        <w:tc>
          <w:tcPr>
            <w:tcW w:w="2109" w:type="dxa"/>
          </w:tcPr>
          <w:p w:rsidR="00EB7848" w:rsidRPr="00B75CF8" w:rsidRDefault="00EB7848" w:rsidP="001B7F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914" w:type="dxa"/>
          </w:tcPr>
          <w:p w:rsidR="00EB7848" w:rsidRPr="00B75CF8" w:rsidRDefault="00EB7848" w:rsidP="001B7F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важливі аспекти існувати не будуть, оскільки відповідають нормам діючого законодавства</w:t>
            </w:r>
          </w:p>
        </w:tc>
      </w:tr>
    </w:tbl>
    <w:p w:rsidR="00EB7848" w:rsidRPr="007E57E2" w:rsidRDefault="00EB7848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uk-UA"/>
        </w:rPr>
      </w:pPr>
    </w:p>
    <w:p w:rsidR="00C15260" w:rsidRPr="00B75CF8" w:rsidRDefault="00EB7848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EB7848" w:rsidRPr="007E57E2" w:rsidRDefault="00EB7848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15260">
        <w:rPr>
          <w:rFonts w:ascii="Times New Roman" w:hAnsi="Times New Roman" w:cs="Times New Roman"/>
          <w:b/>
          <w:lang w:val="uk-UA"/>
        </w:rPr>
        <w:t xml:space="preserve"> </w:t>
      </w:r>
    </w:p>
    <w:p w:rsidR="00EB7848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Основним механізмом вирішення проблеми, зазначеної у розділі І цього Аналізу, є прийняття рішення запропонованого регуляторного акта</w:t>
      </w:r>
      <w:r w:rsidR="008A565B"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чого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будуть діяти наступні механізми та заходи, які забезпечать розв’язання визначених проблем: </w:t>
      </w:r>
    </w:p>
    <w:p w:rsidR="00EB7848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установлення норм надання послуг із вивезення побутових відходів у залежності від джерел їх утворення; </w:t>
      </w:r>
    </w:p>
    <w:p w:rsidR="00EB7848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- підвищення рівня організації робіт у сфері поводження з твердими побутовими відходами та якості послуг із вивезення твердих побутових відходів.</w:t>
      </w:r>
    </w:p>
    <w:p w:rsidR="00EB7848" w:rsidRPr="00B75CF8" w:rsidRDefault="00EB7848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B7848" w:rsidRPr="00B75CF8" w:rsidRDefault="00EB7848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VІ. Оцінка виконання вимог регуляторного акта залеж</w:t>
      </w:r>
      <w:bookmarkStart w:id="2" w:name="_GoBack"/>
      <w:bookmarkEnd w:id="2"/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15260" w:rsidRPr="007E57E2" w:rsidRDefault="00C15260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B7848" w:rsidRPr="00B75CF8" w:rsidRDefault="00EB7848" w:rsidP="007E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Очікуваними результатами прийняття запропонованого регуляторного акта є: </w:t>
      </w:r>
    </w:p>
    <w:p w:rsidR="00EB7848" w:rsidRPr="00B75CF8" w:rsidRDefault="00EB7848" w:rsidP="007E5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- урегулювання відносин у сфері поводження з побутовими відходами та дотримання вимог діючого законодавства при розрахунку вартості послуг із вивезення твердих побутових відходів.</w:t>
      </w:r>
    </w:p>
    <w:p w:rsidR="00EB7848" w:rsidRPr="00B75CF8" w:rsidRDefault="00EB7848" w:rsidP="007E5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урегулювання відносин між споживачами та виконавцями комунальних послуг з організації збирання та вивезення твердих побутових відходів, шляхом укладення договорів та контролю за дотриманням виконавцем послуг графіків вивезення відходів. </w:t>
      </w:r>
    </w:p>
    <w:p w:rsidR="00EB7848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У разі прийняття запропонованого регуляторного акта вигоди та витрати територіальної громади, суб’єктів господарювання, органів місцевого самоврядування будуть наступні:</w:t>
      </w:r>
    </w:p>
    <w:p w:rsidR="00EB7848" w:rsidRPr="007E57E2" w:rsidRDefault="00EB7848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9531" w:type="dxa"/>
        <w:jc w:val="center"/>
        <w:tblInd w:w="432" w:type="dxa"/>
        <w:tblLook w:val="04A0" w:firstRow="1" w:lastRow="0" w:firstColumn="1" w:lastColumn="0" w:noHBand="0" w:noVBand="1"/>
      </w:tblPr>
      <w:tblGrid>
        <w:gridCol w:w="3572"/>
        <w:gridCol w:w="2925"/>
        <w:gridCol w:w="3034"/>
      </w:tblGrid>
      <w:tr w:rsidR="00EB7848" w:rsidRPr="00B75CF8" w:rsidTr="00C15260">
        <w:trPr>
          <w:jc w:val="center"/>
        </w:trPr>
        <w:tc>
          <w:tcPr>
            <w:tcW w:w="9531" w:type="dxa"/>
            <w:gridSpan w:val="3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Аналіз </w:t>
            </w:r>
            <w:proofErr w:type="spellStart"/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вигод</w:t>
            </w:r>
            <w:proofErr w:type="spellEnd"/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витрат</w:t>
            </w:r>
          </w:p>
        </w:tc>
      </w:tr>
      <w:tr w:rsidR="00EB7848" w:rsidRPr="00B75CF8" w:rsidTr="00C15260">
        <w:trPr>
          <w:jc w:val="center"/>
        </w:trPr>
        <w:tc>
          <w:tcPr>
            <w:tcW w:w="3572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5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034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EB7848" w:rsidRPr="00C15260" w:rsidTr="00C15260">
        <w:trPr>
          <w:jc w:val="center"/>
        </w:trPr>
        <w:tc>
          <w:tcPr>
            <w:tcW w:w="3572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</w:t>
            </w:r>
          </w:p>
        </w:tc>
        <w:tc>
          <w:tcPr>
            <w:tcW w:w="2925" w:type="dxa"/>
          </w:tcPr>
          <w:p w:rsidR="00EB7848" w:rsidRPr="00B75CF8" w:rsidRDefault="00C15260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B7848"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регулювання відносин між споживачами та виконавцями комунальних послуг з організації збирання, вивезення твердих побутових відходів;</w:t>
            </w:r>
          </w:p>
          <w:p w:rsidR="00EB7848" w:rsidRPr="007E57E2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санітарно</w:t>
            </w:r>
            <w:r w:rsidR="008A565B"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епідеміологічного стану.</w:t>
            </w:r>
          </w:p>
        </w:tc>
        <w:tc>
          <w:tcPr>
            <w:tcW w:w="3034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Часові, пов’язані зі здійсненням контролю за наданням послуг із вивезення побутових відходів.</w:t>
            </w:r>
          </w:p>
        </w:tc>
      </w:tr>
      <w:tr w:rsidR="00EB7848" w:rsidRPr="00C15260" w:rsidTr="00C15260">
        <w:trPr>
          <w:jc w:val="center"/>
        </w:trPr>
        <w:tc>
          <w:tcPr>
            <w:tcW w:w="3572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господарювання</w:t>
            </w:r>
          </w:p>
        </w:tc>
        <w:tc>
          <w:tcPr>
            <w:tcW w:w="2925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підвищення ефективності функціонування суб’єктів господарювання</w:t>
            </w:r>
          </w:p>
          <w:p w:rsidR="00EB7848" w:rsidRPr="007E57E2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порядку надання послуг з організації збирання, вивезення твердих побутових відходів.</w:t>
            </w:r>
          </w:p>
        </w:tc>
        <w:tc>
          <w:tcPr>
            <w:tcW w:w="3034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EB7848" w:rsidRPr="00C15260" w:rsidTr="00C15260">
        <w:trPr>
          <w:jc w:val="center"/>
        </w:trPr>
        <w:tc>
          <w:tcPr>
            <w:tcW w:w="3572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2925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державної політики у сфері поводження з відходами;</w:t>
            </w:r>
          </w:p>
          <w:p w:rsidR="00EB7848" w:rsidRPr="007E57E2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якості організації робіт у сфері поводження з побутовими відходами, поліпшення санітарного стану </w:t>
            </w:r>
            <w:r w:rsidR="00C15260"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B7848" w:rsidRPr="007E57E2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7848" w:rsidRPr="00B75CF8" w:rsidRDefault="00EB7848" w:rsidP="00B75C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Збалансування інтересів </w:t>
            </w: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між суб’єктами господарювання, що надають такі послуги, органом місцевого самоврядування та споживачами послуг;</w:t>
            </w:r>
          </w:p>
        </w:tc>
        <w:tc>
          <w:tcPr>
            <w:tcW w:w="3034" w:type="dxa"/>
          </w:tcPr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Витрати часу на укладення договорів з виконавцями комунальних послуг з організації збирання, вивезення твердих побутових, великогабаритних та ремонтних відходів;</w:t>
            </w:r>
          </w:p>
          <w:p w:rsidR="00C05F67" w:rsidRPr="00B75CF8" w:rsidRDefault="00C05F67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7848" w:rsidRPr="00B75CF8" w:rsidRDefault="00EB7848" w:rsidP="001B7F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Грошові, пов’язані з оплатою послуг із вивезення побутових </w:t>
            </w:r>
            <w:r w:rsidRPr="00B7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відходів.</w:t>
            </w:r>
          </w:p>
        </w:tc>
      </w:tr>
    </w:tbl>
    <w:p w:rsidR="00EB7848" w:rsidRPr="00C15260" w:rsidRDefault="00EB7848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</w:p>
    <w:p w:rsidR="00C05F67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Перевагою обраного способу досягнення визначених цілей є встановлення норм надання послуг з вивезення побутових відходів відповідно до вимог чинного законодавства України, і як наслідок: </w:t>
      </w:r>
    </w:p>
    <w:p w:rsidR="00C05F67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рівня якості організації робіт у сфері поводження з побутовими відходами; </w:t>
      </w:r>
    </w:p>
    <w:p w:rsidR="00C05F67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- поліпшення са</w:t>
      </w:r>
      <w:r w:rsidR="00A012D7" w:rsidRPr="00B75CF8">
        <w:rPr>
          <w:rFonts w:ascii="Times New Roman" w:hAnsi="Times New Roman" w:cs="Times New Roman"/>
          <w:sz w:val="28"/>
          <w:szCs w:val="28"/>
          <w:lang w:val="uk-UA"/>
        </w:rPr>
        <w:t>нітарно-епідеміологічного стану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05F67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Перегляд норм є об'єктивною необхідністю доведеною науковцями та обумовленою законодавством України. При цьому їх затвердження не передбачає великих витрат. </w:t>
      </w:r>
    </w:p>
    <w:p w:rsidR="00C05F67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затверджених норм не передбачає додаткових витрат суб’єктів господарювання, громадян, держави. </w:t>
      </w:r>
    </w:p>
    <w:p w:rsidR="00EB7848" w:rsidRPr="00B75CF8" w:rsidRDefault="00EB784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Застосування цих норм у розрахунках (щодо визначення вартості перевезень, об’ємів відходів, що утворюються на відповідних об’єктах, при плануванні,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>тощо) дозволить уникнути розбіжностей між їх розрахунковими та реальними (економічно обґрунтованими та фактично підтверджен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практикою) числовими 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значеннями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>. Таким чином проблема та основна ціль, сформовані в цьому Аналізі, будуть вирішені. Відповідно будуть створені передумови для досягнення цілей, які є результатом опосередкованого впливу норм на галузь. В якості наслідку реалізації запропонованого механізму, окрім вирішення поставленої проблеми, очікується також значний позитивний (системний) вплив на галузь в цілому. Реалізація запропонованого механізму не вимагає від органів місцевого самоврядування великих витрат. Таким чином впровадження практично не залежить від матеріального фактору</w:t>
      </w:r>
      <w:r w:rsidR="00C05F67" w:rsidRPr="00B75C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F67" w:rsidRPr="007E57E2" w:rsidRDefault="00C05F67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uk-UA"/>
        </w:rPr>
      </w:pPr>
    </w:p>
    <w:p w:rsidR="00C05F67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VІІ. Обґрунтування запропонованого строку дії регуляторного акта</w:t>
      </w:r>
    </w:p>
    <w:p w:rsidR="001C4CB1" w:rsidRPr="007E57E2" w:rsidRDefault="001C4CB1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05F67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Строк запропонованого регуляторного акта встановлюється довгостроковим або до прийняття нових нормативних актів. У разі потреби до регуляторного акта вноситимуться відповідні зміни, у тому числі за підсумками відстеження його результативності. Так, як норми надання послуг з вивезення побутових відходів є показником, числове 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значення якого може </w:t>
      </w:r>
      <w:proofErr w:type="spellStart"/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>намічно</w:t>
      </w:r>
      <w:proofErr w:type="spellEnd"/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змінюватис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зміною багатьох чинників, насамперед, рівня життя населення України.</w:t>
      </w:r>
    </w:p>
    <w:p w:rsidR="00B75CF8" w:rsidRPr="007E57E2" w:rsidRDefault="00B75CF8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C4CB1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VІІІ. Визначення показників результативності дії регуляторного акта</w:t>
      </w:r>
    </w:p>
    <w:p w:rsidR="00C05F67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5F67" w:rsidRPr="00B75CF8" w:rsidRDefault="00C05F67" w:rsidP="005B0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Кількісними показниками результативності дії регуляторного акта є: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обсяг наданих послуг із вивезення побутових відходів; 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рівень оплати послуг із вивезення побутових відходів; 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звернення громадян щодо надання послуг із вивезення побутових відходів; 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складені адміністративні протоколи та обсяг сплачених штрафів за порушення вимог щодо поводження з відходами. </w:t>
      </w:r>
    </w:p>
    <w:p w:rsidR="00C05F67" w:rsidRPr="00B75CF8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підставі даних, отриманих при проведенні обстеження результативності регуляторного акту в разі його прийняття, буде можливо зробити висновки про досягнення очікуваних результатів та цілей регулювання.</w:t>
      </w:r>
    </w:p>
    <w:p w:rsidR="00C05F67" w:rsidRPr="007E57E2" w:rsidRDefault="00C05F67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uk-UA"/>
        </w:rPr>
      </w:pPr>
    </w:p>
    <w:p w:rsidR="00C05F67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ІХ. Визначення заходів, за допомогою яких здійснюється відстеження дії регуляторного акта</w:t>
      </w:r>
    </w:p>
    <w:p w:rsidR="001C4CB1" w:rsidRPr="007E57E2" w:rsidRDefault="001C4CB1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05F67" w:rsidRPr="00B75CF8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Заходи для відстеж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ння дії регуляторного акту визначено статтею 10 Закону України «Про засади державної регуляторної політики у сфері господарської діяльності». </w:t>
      </w:r>
    </w:p>
    <w:p w:rsidR="00C05F67" w:rsidRPr="00B75CF8" w:rsidRDefault="00C05F67" w:rsidP="005B0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Серед основних методів одержання результатів відстеження: 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звітність підприємств щодо надходження коштів за надання послуг; 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- використання існуючої законодавчої та правової бази у сфері надання послуг; </w:t>
      </w:r>
    </w:p>
    <w:p w:rsidR="00C05F67" w:rsidRPr="00B75CF8" w:rsidRDefault="00C05F67" w:rsidP="005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- здійснення порівняльного аналізу.</w:t>
      </w:r>
    </w:p>
    <w:p w:rsidR="00C05F67" w:rsidRPr="007E57E2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C4CB1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Х. 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C05F67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5F67" w:rsidRPr="00B75CF8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інформації про кількість суб’єктів господарювання, що перебуває у сфері регулювання даного регуляторного акта, немає можливості визначити витрати на одного суб’єкта господарювання, які виникають внаслідок дії вказаного регуляторного акта.</w:t>
      </w:r>
    </w:p>
    <w:p w:rsidR="00C05F67" w:rsidRPr="007E57E2" w:rsidRDefault="00C05F67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val="uk-UA"/>
        </w:rPr>
      </w:pPr>
    </w:p>
    <w:p w:rsidR="001C4CB1" w:rsidRPr="00B75CF8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>ХІ. Бюджетні витрати на адміністрування регулювання для суб’єктів великого і середнього підприємництва</w:t>
      </w:r>
    </w:p>
    <w:p w:rsidR="00C05F67" w:rsidRPr="007E57E2" w:rsidRDefault="00C05F67" w:rsidP="001B7F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75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5F67" w:rsidRPr="00B75CF8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Орган виконавчої влади чи орган місцевого самоврядування, в </w:t>
      </w:r>
      <w:proofErr w:type="spellStart"/>
      <w:r w:rsidRPr="00B75CF8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. виконавчий 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1A2D" w:rsidRPr="00B75CF8"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 w:rsidR="00841A2D"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23F" w:rsidRPr="00B75CF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41A2D" w:rsidRPr="00B75CF8">
        <w:rPr>
          <w:rFonts w:ascii="Times New Roman" w:hAnsi="Times New Roman" w:cs="Times New Roman"/>
          <w:sz w:val="28"/>
          <w:szCs w:val="28"/>
          <w:lang w:val="uk-UA"/>
        </w:rPr>
        <w:t>елищно</w:t>
      </w:r>
      <w:r w:rsidR="0099123F"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 ради, при вве</w:t>
      </w:r>
      <w:r w:rsidR="001C4CB1" w:rsidRPr="00B75CF8">
        <w:rPr>
          <w:rFonts w:ascii="Times New Roman" w:hAnsi="Times New Roman" w:cs="Times New Roman"/>
          <w:sz w:val="28"/>
          <w:szCs w:val="28"/>
          <w:lang w:val="uk-UA"/>
        </w:rPr>
        <w:t>денні в дію запропонованого прое</w:t>
      </w:r>
      <w:r w:rsidRPr="00B75CF8">
        <w:rPr>
          <w:rFonts w:ascii="Times New Roman" w:hAnsi="Times New Roman" w:cs="Times New Roman"/>
          <w:sz w:val="28"/>
          <w:szCs w:val="28"/>
          <w:lang w:val="uk-UA"/>
        </w:rPr>
        <w:t xml:space="preserve">кту регуляторного акта, не понесуть додаткових витрат коштів місцевого бюджету, а також витрат на контроль за його виконанням. </w:t>
      </w:r>
    </w:p>
    <w:p w:rsidR="00C05F67" w:rsidRPr="00B75CF8" w:rsidRDefault="00C05F67" w:rsidP="001B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CF8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інформації про кількість суб’єктів господарювання, що перебуває у сфері регулювання даного регуляторного акта, немає можливості визначити вартість витрат, пов’язаних з адмініструванням процесу регулювання державними органами суб’єктів господарювання, що підпадають під дію регуляторного акта.</w:t>
      </w:r>
    </w:p>
    <w:p w:rsidR="00C05F67" w:rsidRDefault="00C05F67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E57E2" w:rsidRDefault="007E57E2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E57E2" w:rsidRPr="00B75CF8" w:rsidRDefault="007E57E2" w:rsidP="001B7F9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402FB7" w:rsidRDefault="00402FB7" w:rsidP="00402FB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02"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E4B02">
        <w:rPr>
          <w:rFonts w:ascii="Times New Roman" w:hAnsi="Times New Roman" w:cs="Times New Roman"/>
          <w:b/>
          <w:sz w:val="28"/>
          <w:szCs w:val="28"/>
        </w:rPr>
        <w:t xml:space="preserve">   Катерина ПОЖО</w:t>
      </w:r>
    </w:p>
    <w:p w:rsidR="004F2454" w:rsidRPr="00C15260" w:rsidRDefault="004F2454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4F2454" w:rsidRPr="00C15260" w:rsidSect="005B0ECD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0B10"/>
    <w:multiLevelType w:val="hybridMultilevel"/>
    <w:tmpl w:val="F53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32A1"/>
    <w:multiLevelType w:val="hybridMultilevel"/>
    <w:tmpl w:val="42D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41C3"/>
    <w:multiLevelType w:val="hybridMultilevel"/>
    <w:tmpl w:val="02385C70"/>
    <w:lvl w:ilvl="0" w:tplc="07F6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40"/>
    <w:rsid w:val="00153465"/>
    <w:rsid w:val="001B7F97"/>
    <w:rsid w:val="001C4CB1"/>
    <w:rsid w:val="002415A8"/>
    <w:rsid w:val="002554E5"/>
    <w:rsid w:val="002D12AB"/>
    <w:rsid w:val="002E0283"/>
    <w:rsid w:val="00312426"/>
    <w:rsid w:val="003768B1"/>
    <w:rsid w:val="003804F7"/>
    <w:rsid w:val="00402FB7"/>
    <w:rsid w:val="00475DF5"/>
    <w:rsid w:val="004B2B1F"/>
    <w:rsid w:val="004F2454"/>
    <w:rsid w:val="005B0ECD"/>
    <w:rsid w:val="006D6200"/>
    <w:rsid w:val="007E57E2"/>
    <w:rsid w:val="00841A2D"/>
    <w:rsid w:val="008910CA"/>
    <w:rsid w:val="008A565B"/>
    <w:rsid w:val="008D0861"/>
    <w:rsid w:val="008F0F6B"/>
    <w:rsid w:val="0099123F"/>
    <w:rsid w:val="00A012D7"/>
    <w:rsid w:val="00AA2F4D"/>
    <w:rsid w:val="00B40242"/>
    <w:rsid w:val="00B75CF8"/>
    <w:rsid w:val="00C05F67"/>
    <w:rsid w:val="00C15260"/>
    <w:rsid w:val="00DC3A78"/>
    <w:rsid w:val="00DC698E"/>
    <w:rsid w:val="00E2133A"/>
    <w:rsid w:val="00EB7848"/>
    <w:rsid w:val="00EC7354"/>
    <w:rsid w:val="00F44540"/>
    <w:rsid w:val="00F6351B"/>
    <w:rsid w:val="00F67AC8"/>
    <w:rsid w:val="00F86C16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0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91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910C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C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2F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0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91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910C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C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2F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12</cp:revision>
  <cp:lastPrinted>2021-10-27T12:38:00Z</cp:lastPrinted>
  <dcterms:created xsi:type="dcterms:W3CDTF">2021-10-12T11:32:00Z</dcterms:created>
  <dcterms:modified xsi:type="dcterms:W3CDTF">2021-10-27T13:51:00Z</dcterms:modified>
</cp:coreProperties>
</file>